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C7E73">
      <w:pPr>
        <w:spacing w:line="360" w:lineRule="auto"/>
        <w:rPr>
          <w:rFonts w:hint="eastAsia" w:ascii="Times New Roman" w:hAnsi="Times New Roman" w:cs="Times New Roman" w:eastAsiaTheme="minorEastAsia"/>
          <w:b/>
          <w:bCs/>
          <w:sz w:val="20"/>
          <w:szCs w:val="20"/>
          <w:lang w:eastAsia="zh-CN"/>
        </w:rPr>
      </w:pPr>
      <w:r>
        <w:rPr>
          <w:rFonts w:hint="eastAsia" w:ascii="Times New Roman" w:hAnsi="Times New Roman" w:cs="Times New Roman" w:eastAsiaTheme="minorEastAsia"/>
          <w:b/>
          <w:bCs/>
          <w:sz w:val="20"/>
          <w:szCs w:val="20"/>
          <w:lang w:eastAsia="zh-CN"/>
        </w:rPr>
        <w:drawing>
          <wp:inline distT="0" distB="0" distL="114300" distR="114300">
            <wp:extent cx="5269865" cy="3541395"/>
            <wp:effectExtent l="0" t="0" r="6985" b="1905"/>
            <wp:docPr id="1" name="图片 1" descr="Supplemental Figur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upplemental Figures 1"/>
                    <pic:cNvPicPr>
                      <a:picLocks noChangeAspect="1"/>
                    </pic:cNvPicPr>
                  </pic:nvPicPr>
                  <pic:blipFill>
                    <a:blip r:embed="rId4"/>
                    <a:stretch>
                      <a:fillRect/>
                    </a:stretch>
                  </pic:blipFill>
                  <pic:spPr>
                    <a:xfrm>
                      <a:off x="0" y="0"/>
                      <a:ext cx="5269865" cy="3541395"/>
                    </a:xfrm>
                    <a:prstGeom prst="rect">
                      <a:avLst/>
                    </a:prstGeom>
                  </pic:spPr>
                </pic:pic>
              </a:graphicData>
            </a:graphic>
          </wp:inline>
        </w:drawing>
      </w:r>
    </w:p>
    <w:p w14:paraId="4919A7CD">
      <w:pPr>
        <w:spacing w:line="360" w:lineRule="auto"/>
        <w:rPr>
          <w:rFonts w:ascii="Times New Roman" w:hAnsi="Times New Roman" w:cs="Times New Roman"/>
          <w:b/>
          <w:bCs/>
          <w:sz w:val="20"/>
          <w:szCs w:val="20"/>
        </w:rPr>
      </w:pPr>
      <w:r>
        <w:rPr>
          <w:rFonts w:ascii="Times New Roman" w:hAnsi="Times New Roman" w:cs="Times New Roman"/>
          <w:b/>
          <w:bCs/>
          <w:sz w:val="20"/>
          <w:szCs w:val="20"/>
        </w:rPr>
        <w:t>Supplemental Figure 1. Funnel Plot for Assessment of Publication Bias.</w:t>
      </w:r>
    </w:p>
    <w:p w14:paraId="4D3CD6EF">
      <w:pPr>
        <w:spacing w:line="360" w:lineRule="auto"/>
        <w:rPr>
          <w:rFonts w:ascii="Times New Roman" w:hAnsi="Times New Roman" w:cs="Times New Roman"/>
          <w:sz w:val="20"/>
          <w:szCs w:val="20"/>
        </w:rPr>
      </w:pPr>
      <w:r>
        <w:rPr>
          <w:rFonts w:ascii="Times New Roman" w:hAnsi="Times New Roman" w:cs="Times New Roman"/>
          <w:sz w:val="20"/>
          <w:szCs w:val="20"/>
        </w:rPr>
        <w:t>Visual inspection of plot symmetry was used to evaluate potential publication bias across studies. Each point represents an individual study’s effect size against its standard error.</w:t>
      </w:r>
    </w:p>
    <w:p w14:paraId="363006E8">
      <w:pPr>
        <w:spacing w:line="360" w:lineRule="auto"/>
        <w:rPr>
          <w:rFonts w:ascii="Times New Roman" w:hAnsi="Times New Roman" w:cs="Times New Roman"/>
          <w:sz w:val="20"/>
          <w:szCs w:val="20"/>
        </w:rPr>
      </w:pPr>
    </w:p>
    <w:p w14:paraId="1033252E">
      <w:pPr>
        <w:spacing w:line="360" w:lineRule="auto"/>
        <w:rPr>
          <w:rFonts w:ascii="Times New Roman" w:hAnsi="Times New Roman" w:cs="Times New Roman"/>
          <w:b/>
          <w:bCs/>
          <w:sz w:val="20"/>
          <w:szCs w:val="20"/>
        </w:rPr>
      </w:pPr>
      <w:r>
        <w:rPr>
          <w:rFonts w:ascii="Times New Roman" w:hAnsi="Times New Roman" w:cs="Times New Roman"/>
          <w:b/>
          <w:bCs/>
          <w:sz w:val="20"/>
          <w:szCs w:val="20"/>
        </w:rPr>
        <w:drawing>
          <wp:inline distT="0" distB="0" distL="114300" distR="114300">
            <wp:extent cx="5271135" cy="4077335"/>
            <wp:effectExtent l="0" t="0" r="5715" b="18415"/>
            <wp:docPr id="2" name="图片 2" descr="Supplemental Figure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upplemental Figures 2"/>
                    <pic:cNvPicPr>
                      <a:picLocks noChangeAspect="1"/>
                    </pic:cNvPicPr>
                  </pic:nvPicPr>
                  <pic:blipFill>
                    <a:blip r:embed="rId5"/>
                    <a:stretch>
                      <a:fillRect/>
                    </a:stretch>
                  </pic:blipFill>
                  <pic:spPr>
                    <a:xfrm>
                      <a:off x="0" y="0"/>
                      <a:ext cx="5271135" cy="4077335"/>
                    </a:xfrm>
                    <a:prstGeom prst="rect">
                      <a:avLst/>
                    </a:prstGeom>
                  </pic:spPr>
                </pic:pic>
              </a:graphicData>
            </a:graphic>
          </wp:inline>
        </w:drawing>
      </w:r>
      <w:r>
        <w:rPr>
          <w:rFonts w:ascii="Times New Roman" w:hAnsi="Times New Roman" w:cs="Times New Roman"/>
          <w:b/>
          <w:bCs/>
          <w:sz w:val="20"/>
          <w:szCs w:val="20"/>
        </w:rPr>
        <w:t>Supplemental Figure 2. Bubble Plot of Univariate Meta-Regression Analysis.</w:t>
      </w:r>
    </w:p>
    <w:p w14:paraId="3EBD516A">
      <w:pPr>
        <w:spacing w:line="360" w:lineRule="auto"/>
        <w:rPr>
          <w:rFonts w:ascii="Times New Roman" w:hAnsi="Times New Roman" w:cs="Times New Roman"/>
          <w:sz w:val="20"/>
          <w:szCs w:val="20"/>
        </w:rPr>
      </w:pPr>
      <w:r>
        <w:rPr>
          <w:rFonts w:ascii="Times New Roman" w:hAnsi="Times New Roman" w:cs="Times New Roman"/>
          <w:sz w:val="20"/>
          <w:szCs w:val="20"/>
        </w:rPr>
        <w:t>The plot explores the association between a continuous moderator variable (x-axis) and the effect size (y-axis). Bubble size reflects the precision or weight of each study.</w:t>
      </w:r>
    </w:p>
    <w:p w14:paraId="37FED10B">
      <w:pPr>
        <w:spacing w:line="360" w:lineRule="auto"/>
        <w:rPr>
          <w:rFonts w:ascii="Times New Roman" w:hAnsi="Times New Roman" w:cs="Times New Roman"/>
          <w:sz w:val="20"/>
          <w:szCs w:val="20"/>
        </w:rPr>
      </w:pPr>
    </w:p>
    <w:p w14:paraId="024BE67F">
      <w:pPr>
        <w:spacing w:line="360" w:lineRule="auto"/>
        <w:rPr>
          <w:rFonts w:ascii="Times New Roman" w:hAnsi="Times New Roman" w:cs="Times New Roman"/>
          <w:sz w:val="20"/>
          <w:szCs w:val="20"/>
        </w:rPr>
      </w:pPr>
    </w:p>
    <w:p w14:paraId="066AC2DF">
      <w:pPr>
        <w:spacing w:line="360" w:lineRule="auto"/>
        <w:rPr>
          <w:rFonts w:ascii="Times New Roman" w:hAnsi="Times New Roman" w:cs="Times New Roman"/>
          <w:b/>
          <w:bCs/>
          <w:sz w:val="20"/>
          <w:szCs w:val="20"/>
        </w:rPr>
      </w:pPr>
      <w:r>
        <w:rPr>
          <w:rFonts w:ascii="Times New Roman" w:hAnsi="Times New Roman" w:cs="Times New Roman"/>
          <w:b/>
          <w:bCs/>
          <w:sz w:val="20"/>
          <w:szCs w:val="20"/>
        </w:rPr>
        <w:drawing>
          <wp:inline distT="0" distB="0" distL="114300" distR="114300">
            <wp:extent cx="5269865" cy="3541395"/>
            <wp:effectExtent l="0" t="0" r="6985" b="1905"/>
            <wp:docPr id="3" name="图片 3" descr="Supplemental Figure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upplemental Figures 3"/>
                    <pic:cNvPicPr>
                      <a:picLocks noChangeAspect="1"/>
                    </pic:cNvPicPr>
                  </pic:nvPicPr>
                  <pic:blipFill>
                    <a:blip r:embed="rId6"/>
                    <a:stretch>
                      <a:fillRect/>
                    </a:stretch>
                  </pic:blipFill>
                  <pic:spPr>
                    <a:xfrm>
                      <a:off x="0" y="0"/>
                      <a:ext cx="5269865" cy="3541395"/>
                    </a:xfrm>
                    <a:prstGeom prst="rect">
                      <a:avLst/>
                    </a:prstGeom>
                  </pic:spPr>
                </pic:pic>
              </a:graphicData>
            </a:graphic>
          </wp:inline>
        </w:drawing>
      </w:r>
      <w:r>
        <w:rPr>
          <w:rFonts w:ascii="Times New Roman" w:hAnsi="Times New Roman" w:cs="Times New Roman"/>
          <w:b/>
          <w:bCs/>
          <w:sz w:val="20"/>
          <w:szCs w:val="20"/>
        </w:rPr>
        <w:t>Supplemental Figure 3. Egger’s Regression Plot for Publication Bias.</w:t>
      </w:r>
    </w:p>
    <w:p w14:paraId="653621D6">
      <w:pPr>
        <w:spacing w:line="360" w:lineRule="auto"/>
        <w:rPr>
          <w:rFonts w:ascii="Times New Roman" w:hAnsi="Times New Roman" w:cs="Times New Roman"/>
          <w:sz w:val="20"/>
          <w:szCs w:val="20"/>
        </w:rPr>
      </w:pPr>
      <w:r>
        <w:rPr>
          <w:rFonts w:ascii="Times New Roman" w:hAnsi="Times New Roman" w:cs="Times New Roman"/>
          <w:sz w:val="20"/>
          <w:szCs w:val="20"/>
        </w:rPr>
        <w:t>A scatterplot of precision (standard error) against effect size. The regression line is used to statistically assess funnel plot asymmetry; a significant intercept suggests potential publication bias.</w:t>
      </w:r>
    </w:p>
    <w:p w14:paraId="19626A39">
      <w:pPr>
        <w:spacing w:line="360" w:lineRule="auto"/>
        <w:rPr>
          <w:rFonts w:ascii="Times New Roman" w:hAnsi="Times New Roman" w:cs="Times New Roman"/>
          <w:sz w:val="20"/>
          <w:szCs w:val="20"/>
        </w:rPr>
      </w:pPr>
    </w:p>
    <w:p w14:paraId="3547C388">
      <w:pPr>
        <w:spacing w:line="360" w:lineRule="auto"/>
        <w:rPr>
          <w:rFonts w:ascii="Times New Roman" w:hAnsi="Times New Roman" w:cs="Times New Roman"/>
          <w:sz w:val="20"/>
          <w:szCs w:val="20"/>
        </w:rPr>
      </w:pPr>
    </w:p>
    <w:p w14:paraId="74783224">
      <w:pPr>
        <w:spacing w:line="360" w:lineRule="auto"/>
        <w:rPr>
          <w:rFonts w:ascii="Times New Roman" w:hAnsi="Times New Roman" w:cs="Times New Roman"/>
          <w:b/>
          <w:bCs/>
          <w:sz w:val="20"/>
          <w:szCs w:val="20"/>
        </w:rPr>
      </w:pPr>
      <w:r>
        <w:rPr>
          <w:rFonts w:ascii="Times New Roman" w:hAnsi="Times New Roman" w:cs="Times New Roman"/>
          <w:b/>
          <w:bCs/>
          <w:sz w:val="20"/>
          <w:szCs w:val="20"/>
        </w:rPr>
        <w:drawing>
          <wp:inline distT="0" distB="0" distL="114300" distR="114300">
            <wp:extent cx="5273040" cy="5556885"/>
            <wp:effectExtent l="0" t="0" r="3810" b="5715"/>
            <wp:docPr id="4" name="图片 4" descr="Supplemental Figure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upplemental Figures 4"/>
                    <pic:cNvPicPr>
                      <a:picLocks noChangeAspect="1"/>
                    </pic:cNvPicPr>
                  </pic:nvPicPr>
                  <pic:blipFill>
                    <a:blip r:embed="rId7"/>
                    <a:stretch>
                      <a:fillRect/>
                    </a:stretch>
                  </pic:blipFill>
                  <pic:spPr>
                    <a:xfrm>
                      <a:off x="0" y="0"/>
                      <a:ext cx="5273040" cy="5556885"/>
                    </a:xfrm>
                    <a:prstGeom prst="rect">
                      <a:avLst/>
                    </a:prstGeom>
                  </pic:spPr>
                </pic:pic>
              </a:graphicData>
            </a:graphic>
          </wp:inline>
        </w:drawing>
      </w:r>
      <w:r>
        <w:rPr>
          <w:rFonts w:ascii="Times New Roman" w:hAnsi="Times New Roman" w:cs="Times New Roman"/>
          <w:b/>
          <w:bCs/>
          <w:sz w:val="20"/>
          <w:szCs w:val="20"/>
        </w:rPr>
        <w:t>Supplemental Figure 4. Category-Specific Forest Plots.</w:t>
      </w:r>
    </w:p>
    <w:p w14:paraId="4228737B">
      <w:pPr>
        <w:spacing w:line="360" w:lineRule="auto"/>
        <w:rPr>
          <w:rFonts w:ascii="Times New Roman" w:hAnsi="Times New Roman" w:cs="Times New Roman"/>
          <w:sz w:val="20"/>
          <w:szCs w:val="20"/>
        </w:rPr>
      </w:pPr>
      <w:r>
        <w:rPr>
          <w:rFonts w:ascii="Times New Roman" w:hAnsi="Times New Roman" w:cs="Times New Roman"/>
          <w:sz w:val="20"/>
          <w:szCs w:val="20"/>
        </w:rPr>
        <w:t>Forest plots are presented for each exposure category: (</w:t>
      </w:r>
      <w:r>
        <w:rPr>
          <w:rFonts w:hint="eastAsia" w:ascii="Times New Roman" w:hAnsi="Times New Roman" w:cs="Times New Roman"/>
          <w:sz w:val="20"/>
          <w:szCs w:val="20"/>
          <w:lang w:val="en-US" w:eastAsia="zh-CN"/>
        </w:rPr>
        <w:t>A</w:t>
      </w:r>
      <w:r>
        <w:rPr>
          <w:rFonts w:ascii="Times New Roman" w:hAnsi="Times New Roman" w:cs="Times New Roman"/>
          <w:sz w:val="20"/>
          <w:szCs w:val="20"/>
        </w:rPr>
        <w:t>) Amino acids, (</w:t>
      </w:r>
      <w:r>
        <w:rPr>
          <w:rFonts w:hint="eastAsia" w:ascii="Times New Roman" w:hAnsi="Times New Roman" w:cs="Times New Roman"/>
          <w:sz w:val="20"/>
          <w:szCs w:val="20"/>
          <w:lang w:val="en-US" w:eastAsia="zh-CN"/>
        </w:rPr>
        <w:t>B</w:t>
      </w:r>
      <w:r>
        <w:rPr>
          <w:rFonts w:ascii="Times New Roman" w:hAnsi="Times New Roman" w:cs="Times New Roman"/>
          <w:sz w:val="20"/>
          <w:szCs w:val="20"/>
        </w:rPr>
        <w:t>) Disease/Inflammation/Autoimmunity, (</w:t>
      </w:r>
      <w:r>
        <w:rPr>
          <w:rFonts w:hint="eastAsia" w:ascii="Times New Roman" w:hAnsi="Times New Roman" w:cs="Times New Roman"/>
          <w:sz w:val="20"/>
          <w:szCs w:val="20"/>
          <w:lang w:val="en-US" w:eastAsia="zh-CN"/>
        </w:rPr>
        <w:t>C</w:t>
      </w:r>
      <w:r>
        <w:rPr>
          <w:rFonts w:ascii="Times New Roman" w:hAnsi="Times New Roman" w:cs="Times New Roman"/>
          <w:sz w:val="20"/>
          <w:szCs w:val="20"/>
        </w:rPr>
        <w:t>) Enzymes/Signaling Molecules/Receptor Complexes, (</w:t>
      </w:r>
      <w:r>
        <w:rPr>
          <w:rFonts w:hint="eastAsia" w:ascii="Times New Roman" w:hAnsi="Times New Roman" w:cs="Times New Roman"/>
          <w:sz w:val="20"/>
          <w:szCs w:val="20"/>
          <w:lang w:val="en-US" w:eastAsia="zh-CN"/>
        </w:rPr>
        <w:t>D</w:t>
      </w:r>
      <w:r>
        <w:rPr>
          <w:rFonts w:ascii="Times New Roman" w:hAnsi="Times New Roman" w:cs="Times New Roman"/>
          <w:sz w:val="20"/>
          <w:szCs w:val="20"/>
        </w:rPr>
        <w:t>) Gut Microbiota, (</w:t>
      </w:r>
      <w:r>
        <w:rPr>
          <w:rFonts w:hint="eastAsia" w:ascii="Times New Roman" w:hAnsi="Times New Roman" w:cs="Times New Roman"/>
          <w:sz w:val="20"/>
          <w:szCs w:val="20"/>
          <w:lang w:val="en-US" w:eastAsia="zh-CN"/>
        </w:rPr>
        <w:t>E</w:t>
      </w:r>
      <w:r>
        <w:rPr>
          <w:rFonts w:ascii="Times New Roman" w:hAnsi="Times New Roman" w:cs="Times New Roman"/>
          <w:sz w:val="20"/>
          <w:szCs w:val="20"/>
        </w:rPr>
        <w:t>) Hormones/Vitamins, (</w:t>
      </w:r>
      <w:r>
        <w:rPr>
          <w:rFonts w:hint="eastAsia" w:ascii="Times New Roman" w:hAnsi="Times New Roman" w:cs="Times New Roman"/>
          <w:sz w:val="20"/>
          <w:szCs w:val="20"/>
          <w:lang w:val="en-US" w:eastAsia="zh-CN"/>
        </w:rPr>
        <w:t>F</w:t>
      </w:r>
      <w:r>
        <w:rPr>
          <w:rFonts w:ascii="Times New Roman" w:hAnsi="Times New Roman" w:cs="Times New Roman"/>
          <w:sz w:val="20"/>
          <w:szCs w:val="20"/>
        </w:rPr>
        <w:t>) Immune Cells/Phenotypes, (</w:t>
      </w:r>
      <w:r>
        <w:rPr>
          <w:rFonts w:hint="eastAsia" w:ascii="Times New Roman" w:hAnsi="Times New Roman" w:cs="Times New Roman"/>
          <w:sz w:val="20"/>
          <w:szCs w:val="20"/>
          <w:lang w:val="en-US" w:eastAsia="zh-CN"/>
        </w:rPr>
        <w:t>G</w:t>
      </w:r>
      <w:r>
        <w:rPr>
          <w:rFonts w:ascii="Times New Roman" w:hAnsi="Times New Roman" w:cs="Times New Roman"/>
          <w:sz w:val="20"/>
          <w:szCs w:val="20"/>
        </w:rPr>
        <w:t>) Lipids/Fatty Acids, (</w:t>
      </w:r>
      <w:r>
        <w:rPr>
          <w:rFonts w:hint="eastAsia" w:ascii="Times New Roman" w:hAnsi="Times New Roman" w:cs="Times New Roman"/>
          <w:sz w:val="20"/>
          <w:szCs w:val="20"/>
          <w:lang w:val="en-US" w:eastAsia="zh-CN"/>
        </w:rPr>
        <w:t>H</w:t>
      </w:r>
      <w:r>
        <w:rPr>
          <w:rFonts w:ascii="Times New Roman" w:hAnsi="Times New Roman" w:cs="Times New Roman"/>
          <w:sz w:val="20"/>
          <w:szCs w:val="20"/>
        </w:rPr>
        <w:t>) Metabolites, (</w:t>
      </w:r>
      <w:r>
        <w:rPr>
          <w:rFonts w:hint="eastAsia" w:ascii="Times New Roman" w:hAnsi="Times New Roman" w:cs="Times New Roman"/>
          <w:sz w:val="20"/>
          <w:szCs w:val="20"/>
          <w:lang w:val="en-US" w:eastAsia="zh-CN"/>
        </w:rPr>
        <w:t>I</w:t>
      </w:r>
      <w:r>
        <w:rPr>
          <w:rFonts w:ascii="Times New Roman" w:hAnsi="Times New Roman" w:cs="Times New Roman"/>
          <w:sz w:val="20"/>
          <w:szCs w:val="20"/>
        </w:rPr>
        <w:t>) Proteins/Genes, (</w:t>
      </w:r>
      <w:r>
        <w:rPr>
          <w:rFonts w:hint="eastAsia" w:ascii="Times New Roman" w:hAnsi="Times New Roman" w:cs="Times New Roman"/>
          <w:sz w:val="20"/>
          <w:szCs w:val="20"/>
          <w:lang w:val="en-US" w:eastAsia="zh-CN"/>
        </w:rPr>
        <w:t>J</w:t>
      </w:r>
      <w:r>
        <w:rPr>
          <w:rFonts w:ascii="Times New Roman" w:hAnsi="Times New Roman" w:cs="Times New Roman"/>
          <w:sz w:val="20"/>
          <w:szCs w:val="20"/>
        </w:rPr>
        <w:t>) Trace Elements/Electrolytes, and (</w:t>
      </w:r>
      <w:r>
        <w:rPr>
          <w:rFonts w:hint="eastAsia" w:ascii="Times New Roman" w:hAnsi="Times New Roman" w:cs="Times New Roman"/>
          <w:sz w:val="20"/>
          <w:szCs w:val="20"/>
          <w:lang w:val="en-US" w:eastAsia="zh-CN"/>
        </w:rPr>
        <w:t>K</w:t>
      </w:r>
      <w:r>
        <w:rPr>
          <w:rFonts w:ascii="Times New Roman" w:hAnsi="Times New Roman" w:cs="Times New Roman"/>
          <w:sz w:val="20"/>
          <w:szCs w:val="20"/>
        </w:rPr>
        <w:t>) Other/Undetermined.</w:t>
      </w:r>
    </w:p>
    <w:p w14:paraId="1F5E0A77"/>
    <w:p w14:paraId="7B9500E1"/>
    <w:p w14:paraId="6086EB77"/>
    <w:p w14:paraId="6A21AEC3"/>
    <w:p w14:paraId="126065E8"/>
    <w:p w14:paraId="2492575A"/>
    <w:p w14:paraId="3026BAD1"/>
    <w:p w14:paraId="141B1844"/>
    <w:p w14:paraId="4AE83392">
      <w:pPr>
        <w:rPr>
          <w:rFonts w:hint="eastAsia" w:eastAsiaTheme="minorEastAsia"/>
          <w:lang w:eastAsia="zh-CN"/>
        </w:rPr>
      </w:pPr>
      <w:r>
        <w:rPr>
          <w:rFonts w:hint="eastAsia" w:eastAsiaTheme="minorEastAsia"/>
          <w:lang w:eastAsia="zh-CN"/>
        </w:rPr>
        <w:drawing>
          <wp:inline distT="0" distB="0" distL="114300" distR="114300">
            <wp:extent cx="5243195" cy="4345305"/>
            <wp:effectExtent l="0" t="0" r="14605" b="17145"/>
            <wp:docPr id="5" name="图片 5" descr="Supplemental Fig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upplemental Figure 5"/>
                    <pic:cNvPicPr>
                      <a:picLocks noChangeAspect="1"/>
                    </pic:cNvPicPr>
                  </pic:nvPicPr>
                  <pic:blipFill>
                    <a:blip r:embed="rId8"/>
                    <a:stretch>
                      <a:fillRect/>
                    </a:stretch>
                  </pic:blipFill>
                  <pic:spPr>
                    <a:xfrm>
                      <a:off x="0" y="0"/>
                      <a:ext cx="5243195" cy="4345305"/>
                    </a:xfrm>
                    <a:prstGeom prst="rect">
                      <a:avLst/>
                    </a:prstGeom>
                  </pic:spPr>
                </pic:pic>
              </a:graphicData>
            </a:graphic>
          </wp:inline>
        </w:drawing>
      </w:r>
    </w:p>
    <w:p w14:paraId="20FED76C">
      <w:pPr>
        <w:spacing w:line="360" w:lineRule="auto"/>
        <w:rPr>
          <w:rFonts w:ascii="Times New Roman" w:hAnsi="Times New Roman" w:cs="Times New Roman"/>
          <w:b/>
          <w:bCs/>
          <w:sz w:val="20"/>
          <w:szCs w:val="20"/>
        </w:rPr>
      </w:pPr>
      <w:bookmarkStart w:id="0" w:name="_GoBack"/>
      <w:r>
        <w:rPr>
          <w:rFonts w:ascii="Times New Roman" w:hAnsi="Times New Roman" w:cs="Times New Roman"/>
          <w:b/>
          <w:bCs/>
          <w:sz w:val="20"/>
          <w:szCs w:val="20"/>
        </w:rPr>
        <w:t>Figure 5. STROBE-MR Reporting Quality Assessment (n = 53 studies)</w:t>
      </w:r>
    </w:p>
    <w:bookmarkEnd w:id="0"/>
    <w:p w14:paraId="748B7588">
      <w:pPr>
        <w:spacing w:line="360" w:lineRule="auto"/>
        <w:rPr>
          <w:rFonts w:ascii="Times New Roman" w:hAnsi="Times New Roman" w:cs="Times New Roman"/>
          <w:sz w:val="20"/>
          <w:szCs w:val="20"/>
        </w:rPr>
      </w:pPr>
      <w:r>
        <w:rPr>
          <w:rFonts w:ascii="Times New Roman" w:hAnsi="Times New Roman" w:cs="Times New Roman"/>
          <w:sz w:val="20"/>
          <w:szCs w:val="20"/>
        </w:rPr>
        <w:t>This stacked bar chart displays the reporting quality of 53 Mendelian Randomization (MR) studies based on the STROBE-MR checklist. The assessment includes 20 key items related to study transparency and rigor, with each item categorized into three levels: "Yes" (green), "Partial" (yellow), and "No" (red). The chart highlights the percentage of studies meeting (Yes), partially meeting (Partial), or failing to meet (No) each criterion. Notable categories such as "Sensitivity analyses" and "Software and preregistration" show a lower percentage of complete reporting, with 91% and 87% of studies providing partial information, respectively. In contrast, categories like "Title and Abstract," "Background," and "Funding" are reported with near full compliance (100% Yes).</w:t>
      </w:r>
    </w:p>
    <w:p w14:paraId="0325AE7B">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9D4339"/>
    <w:rsid w:val="3D625C2B"/>
    <w:rsid w:val="73977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151</Words>
  <Characters>1033</Characters>
  <Lines>0</Lines>
  <Paragraphs>0</Paragraphs>
  <TotalTime>0</TotalTime>
  <ScaleCrop>false</ScaleCrop>
  <LinksUpToDate>false</LinksUpToDate>
  <CharactersWithSpaces>1176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2025-09-09T17:10:00Z</dcterms:created>
  <dc:creator>1</dc:creator>
  <cp:lastModifiedBy>多巴胺</cp:lastModifiedBy>
  <dcterms:modified xsi:type="dcterms:W3CDTF">2025-12-31T08:07:39Z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eyJoZGlkIjoiNjJkMWM5YTJmZjFkM2FkNjUxY2Y0MDA4ZjI0MWY3MTYiLCJ1c2VySWQiOiIzOTEwODY3MjUifQ==</vt:lpwstr>
  </property>
  <property fmtid="{D5CDD505-2E9C-101B-9397-08002B2CF9AE}" pid="4" name="ICV">
    <vt:lpwstr>64E79B52B87445C58A43A7063CDF95DC_12</vt:lpwstr>
  </property>
</Properties>
</file>